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3AFAF9BB" w:rsidR="00FA20F7" w:rsidRPr="00077CF3" w:rsidRDefault="00752C50" w:rsidP="00FA20F7">
      <w:pPr>
        <w:pStyle w:val="3GPPHeader"/>
        <w:spacing w:after="0"/>
        <w:rPr>
          <w:rFonts w:ascii="Arial" w:hAnsi="Arial" w:cs="Arial"/>
          <w:szCs w:val="24"/>
          <w:lang w:val="en-US"/>
        </w:rPr>
      </w:pPr>
      <w:r w:rsidRPr="00077CF3">
        <w:rPr>
          <w:rFonts w:ascii="Arial" w:hAnsi="Arial" w:cs="Arial"/>
          <w:lang w:val="en-US"/>
        </w:rPr>
        <w:t>3GPP TSG-RAN WG1 Meeting</w:t>
      </w:r>
      <w:r w:rsidR="003D41C3">
        <w:rPr>
          <w:rFonts w:ascii="Arial" w:hAnsi="Arial" w:cs="Arial"/>
          <w:lang w:val="en-US"/>
        </w:rPr>
        <w:t xml:space="preserve"> #80bis</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DC0696">
        <w:rPr>
          <w:rFonts w:ascii="Arial" w:hAnsi="Arial" w:cs="Arial"/>
          <w:szCs w:val="24"/>
          <w:lang w:val="en-US"/>
        </w:rPr>
        <w:t>1459</w:t>
      </w:r>
    </w:p>
    <w:p w14:paraId="231ECCBD" w14:textId="5EA8DB3E" w:rsidR="00FA20F7" w:rsidRPr="00077CF3" w:rsidRDefault="003D41C3" w:rsidP="00FA20F7">
      <w:pPr>
        <w:pStyle w:val="3GPPHeader"/>
        <w:rPr>
          <w:rFonts w:ascii="Arial" w:hAnsi="Arial" w:cs="Arial"/>
          <w:lang w:val="en-US"/>
        </w:rPr>
      </w:pPr>
      <w:r>
        <w:rPr>
          <w:rFonts w:ascii="Arial" w:hAnsi="Arial" w:cs="Arial"/>
          <w:lang w:val="en-US"/>
        </w:rPr>
        <w:t>Belgrade</w:t>
      </w:r>
      <w:r w:rsidR="00752C50" w:rsidRPr="00077CF3">
        <w:rPr>
          <w:rFonts w:ascii="Arial" w:hAnsi="Arial" w:cs="Arial"/>
          <w:lang w:val="en-US"/>
        </w:rPr>
        <w:t xml:space="preserve">, </w:t>
      </w:r>
      <w:r>
        <w:rPr>
          <w:rFonts w:ascii="Arial" w:hAnsi="Arial" w:cs="Arial"/>
          <w:lang w:val="en-US"/>
        </w:rPr>
        <w:t>Serbia</w:t>
      </w:r>
      <w:r w:rsidR="00752C50" w:rsidRPr="00077CF3">
        <w:rPr>
          <w:rFonts w:ascii="Arial" w:hAnsi="Arial" w:cs="Arial"/>
          <w:lang w:val="en-US"/>
        </w:rPr>
        <w:t xml:space="preserve">, </w:t>
      </w:r>
      <w:r>
        <w:rPr>
          <w:rFonts w:ascii="Arial" w:hAnsi="Arial" w:cs="Arial"/>
          <w:lang w:val="en-US"/>
        </w:rPr>
        <w:t>20</w:t>
      </w:r>
      <w:r w:rsidRPr="003D41C3">
        <w:rPr>
          <w:rFonts w:ascii="Arial" w:hAnsi="Arial" w:cs="Arial"/>
          <w:vertAlign w:val="superscript"/>
          <w:lang w:val="en-US"/>
        </w:rPr>
        <w:t>th</w:t>
      </w:r>
      <w:r>
        <w:rPr>
          <w:rFonts w:ascii="Arial" w:hAnsi="Arial" w:cs="Arial"/>
          <w:lang w:val="en-US"/>
        </w:rPr>
        <w:t xml:space="preserve"> – 24</w:t>
      </w:r>
      <w:r w:rsidRPr="003D41C3">
        <w:rPr>
          <w:rFonts w:ascii="Arial" w:hAnsi="Arial" w:cs="Arial"/>
          <w:vertAlign w:val="superscript"/>
          <w:lang w:val="en-US"/>
        </w:rPr>
        <w:t>th</w:t>
      </w:r>
      <w:r>
        <w:rPr>
          <w:rFonts w:ascii="Arial" w:hAnsi="Arial" w:cs="Arial"/>
          <w:lang w:val="en-US"/>
        </w:rPr>
        <w:t xml:space="preserve"> April </w:t>
      </w:r>
      <w:r w:rsidR="00752C50" w:rsidRPr="00077CF3">
        <w:rPr>
          <w:rFonts w:ascii="Arial" w:hAnsi="Arial" w:cs="Arial"/>
          <w:lang w:val="en-US"/>
        </w:rPr>
        <w:t>2015</w:t>
      </w:r>
    </w:p>
    <w:p w14:paraId="6FA141D4" w14:textId="2ACE711D"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6F56F5">
        <w:rPr>
          <w:rFonts w:cs="Arial"/>
          <w:b/>
          <w:bCs/>
          <w:sz w:val="24"/>
          <w:lang w:val="en-US"/>
        </w:rPr>
        <w:t>7.2.4.2</w:t>
      </w:r>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t>InterDigital</w:t>
      </w:r>
      <w:r w:rsidR="00E17A3B" w:rsidRPr="00077CF3">
        <w:rPr>
          <w:rFonts w:ascii="Arial" w:hAnsi="Arial" w:cs="Arial"/>
          <w:b/>
          <w:bCs/>
          <w:sz w:val="24"/>
          <w:lang w:val="en-US"/>
        </w:rPr>
        <w:t xml:space="preserve"> Communications</w:t>
      </w:r>
    </w:p>
    <w:p w14:paraId="4F02292E" w14:textId="45E6A784"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220944">
        <w:rPr>
          <w:rFonts w:ascii="Arial" w:hAnsi="Arial" w:cs="Arial"/>
          <w:b/>
          <w:bCs/>
          <w:sz w:val="24"/>
          <w:lang w:val="en-US"/>
        </w:rPr>
        <w:t>UL transmission</w:t>
      </w:r>
      <w:r w:rsidR="008A5F58">
        <w:rPr>
          <w:rFonts w:ascii="Arial" w:hAnsi="Arial" w:cs="Arial"/>
          <w:b/>
          <w:bCs/>
          <w:sz w:val="24"/>
          <w:lang w:val="en-US"/>
        </w:rPr>
        <w:t xml:space="preserve"> for LAA</w:t>
      </w:r>
    </w:p>
    <w:p w14:paraId="20F2A3ED" w14:textId="0E18106F"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p>
    <w:p w14:paraId="17878940" w14:textId="77777777" w:rsidR="00116C54" w:rsidRPr="00077CF3" w:rsidRDefault="00116C54" w:rsidP="00FA20F7">
      <w:pPr>
        <w:ind w:left="1985" w:hanging="1985"/>
        <w:rPr>
          <w:b/>
          <w:bCs/>
          <w:sz w:val="24"/>
          <w:lang w:val="en-US" w:eastAsia="ko-KR"/>
        </w:rPr>
      </w:pPr>
    </w:p>
    <w:p w14:paraId="45A92109" w14:textId="77777777" w:rsidR="00261A3A" w:rsidRPr="00077CF3" w:rsidRDefault="00A35469" w:rsidP="00076974">
      <w:pPr>
        <w:pStyle w:val="Heading1"/>
        <w:rPr>
          <w:lang w:val="en-US"/>
        </w:rPr>
      </w:pPr>
      <w:r w:rsidRPr="00077CF3">
        <w:rPr>
          <w:lang w:val="en-US"/>
        </w:rPr>
        <w:t>Introduction</w:t>
      </w:r>
    </w:p>
    <w:p w14:paraId="0161FF32" w14:textId="2949938D" w:rsidR="004048B5" w:rsidRPr="00077CF3" w:rsidRDefault="003D41C3" w:rsidP="004048B5">
      <w:pPr>
        <w:rPr>
          <w:sz w:val="20"/>
          <w:lang w:val="en-US"/>
        </w:rPr>
      </w:pPr>
      <w:r>
        <w:rPr>
          <w:sz w:val="20"/>
          <w:lang w:val="en-US"/>
        </w:rPr>
        <w:t xml:space="preserve">In the March 2015 RAN1 LAA AdHoc meeting, </w:t>
      </w:r>
      <w:r w:rsidR="005F193F">
        <w:rPr>
          <w:sz w:val="20"/>
          <w:lang w:val="en-US"/>
        </w:rPr>
        <w:t xml:space="preserve">it was agreed to target the support of UL multiplexing of multiple UEs in one subframe for LAA by means of FDM and MU-MIMO. In addition, </w:t>
      </w:r>
      <w:r w:rsidR="00514F5E">
        <w:rPr>
          <w:sz w:val="20"/>
          <w:lang w:val="en-US"/>
        </w:rPr>
        <w:t xml:space="preserve">principles of </w:t>
      </w:r>
      <w:r w:rsidR="005F193F">
        <w:rPr>
          <w:sz w:val="20"/>
          <w:lang w:val="en-US"/>
        </w:rPr>
        <w:t>LAA transmission</w:t>
      </w:r>
      <w:r w:rsidR="00514F5E">
        <w:rPr>
          <w:sz w:val="20"/>
          <w:lang w:val="en-US"/>
        </w:rPr>
        <w:t>s</w:t>
      </w:r>
      <w:r w:rsidR="005F193F">
        <w:rPr>
          <w:sz w:val="20"/>
          <w:lang w:val="en-US"/>
        </w:rPr>
        <w:t xml:space="preserve"> </w:t>
      </w:r>
      <w:r w:rsidR="00514F5E">
        <w:rPr>
          <w:sz w:val="20"/>
          <w:lang w:val="en-US"/>
        </w:rPr>
        <w:t xml:space="preserve">in </w:t>
      </w:r>
      <w:r w:rsidR="005F193F">
        <w:rPr>
          <w:sz w:val="20"/>
          <w:lang w:val="en-US"/>
        </w:rPr>
        <w:t xml:space="preserve">the UL </w:t>
      </w:r>
      <w:r w:rsidR="00514F5E">
        <w:rPr>
          <w:sz w:val="20"/>
          <w:lang w:val="en-US"/>
        </w:rPr>
        <w:t xml:space="preserve">were </w:t>
      </w:r>
      <w:r w:rsidR="005F193F">
        <w:rPr>
          <w:sz w:val="20"/>
          <w:lang w:val="en-US"/>
        </w:rPr>
        <w:t>discussed.</w:t>
      </w:r>
    </w:p>
    <w:p w14:paraId="2A9B5721" w14:textId="1FC9A9D3" w:rsidR="005F193F" w:rsidRDefault="005F193F" w:rsidP="003D41C3">
      <w:pPr>
        <w:rPr>
          <w:sz w:val="20"/>
          <w:lang w:val="en-US"/>
        </w:rPr>
      </w:pPr>
      <w:r>
        <w:rPr>
          <w:sz w:val="20"/>
          <w:lang w:val="en-US"/>
        </w:rPr>
        <w:t xml:space="preserve">In this contribution we provide our views and recommendations on </w:t>
      </w:r>
      <w:r w:rsidR="008A5F58">
        <w:rPr>
          <w:sz w:val="20"/>
          <w:lang w:val="en-US"/>
        </w:rPr>
        <w:t xml:space="preserve">the multiple access scheme for </w:t>
      </w:r>
      <w:r>
        <w:rPr>
          <w:sz w:val="20"/>
          <w:lang w:val="en-US"/>
        </w:rPr>
        <w:t>LAA UL transmission</w:t>
      </w:r>
      <w:r w:rsidR="008A5F58">
        <w:rPr>
          <w:sz w:val="20"/>
          <w:lang w:val="en-US"/>
        </w:rPr>
        <w:t>s.</w:t>
      </w:r>
    </w:p>
    <w:p w14:paraId="48D94537" w14:textId="77777777" w:rsidR="003D41C3" w:rsidRPr="00076974" w:rsidRDefault="003D41C3" w:rsidP="00085A01">
      <w:pPr>
        <w:rPr>
          <w:sz w:val="20"/>
          <w:lang w:val="en-US"/>
        </w:rPr>
      </w:pPr>
    </w:p>
    <w:p w14:paraId="411E7BBD" w14:textId="785CDEB6" w:rsidR="00085A01" w:rsidRPr="00077CF3" w:rsidRDefault="00076974" w:rsidP="00076974">
      <w:pPr>
        <w:pStyle w:val="Heading1"/>
        <w:rPr>
          <w:lang w:val="en-US"/>
        </w:rPr>
      </w:pPr>
      <w:r>
        <w:rPr>
          <w:lang w:val="en-US"/>
        </w:rPr>
        <w:t>Discussion</w:t>
      </w:r>
    </w:p>
    <w:p w14:paraId="237B4C30" w14:textId="77777777" w:rsidR="00076974" w:rsidRDefault="004048B5" w:rsidP="004048B5">
      <w:pPr>
        <w:spacing w:after="180"/>
        <w:rPr>
          <w:rFonts w:eastAsia="Batang"/>
          <w:sz w:val="20"/>
          <w:lang w:val="en-US" w:eastAsia="sv-SE"/>
        </w:rPr>
      </w:pPr>
      <w:r w:rsidRPr="004048B5">
        <w:rPr>
          <w:rFonts w:eastAsia="Batang"/>
          <w:sz w:val="20"/>
          <w:lang w:val="en-US" w:eastAsia="sv-SE"/>
        </w:rPr>
        <w:t>In our view, while the LTE LAA DL should operate according to requirements for Load-Based-Equipment (LBE) and use LBT/CCA</w:t>
      </w:r>
      <w:r w:rsidR="00076974">
        <w:rPr>
          <w:rFonts w:eastAsia="Batang"/>
          <w:sz w:val="20"/>
          <w:lang w:val="en-US" w:eastAsia="sv-SE"/>
        </w:rPr>
        <w:t xml:space="preserve"> [4]</w:t>
      </w:r>
      <w:r w:rsidRPr="004048B5">
        <w:rPr>
          <w:rFonts w:eastAsia="Batang"/>
          <w:sz w:val="20"/>
          <w:lang w:val="en-US" w:eastAsia="sv-SE"/>
        </w:rPr>
        <w:t>, the LAA UL design should rather follow the principles of Frame-Based-Equipment (FBE).</w:t>
      </w:r>
    </w:p>
    <w:p w14:paraId="1D469400" w14:textId="4C26960B" w:rsidR="004048B5" w:rsidRPr="004048B5" w:rsidRDefault="004048B5" w:rsidP="004048B5">
      <w:pPr>
        <w:spacing w:after="180"/>
        <w:rPr>
          <w:rFonts w:eastAsia="Batang"/>
          <w:sz w:val="20"/>
          <w:lang w:val="en-US" w:eastAsia="sv-SE"/>
        </w:rPr>
      </w:pPr>
      <w:r w:rsidRPr="004048B5">
        <w:rPr>
          <w:rFonts w:eastAsia="Batang"/>
          <w:sz w:val="20"/>
          <w:lang w:val="en-US" w:eastAsia="sv-SE"/>
        </w:rPr>
        <w:t>There are two motivations behind such a design approach.</w:t>
      </w:r>
    </w:p>
    <w:p w14:paraId="37A88C62" w14:textId="77777777" w:rsidR="004048B5" w:rsidRPr="004048B5" w:rsidRDefault="004048B5" w:rsidP="004048B5">
      <w:pPr>
        <w:spacing w:after="180"/>
        <w:rPr>
          <w:rFonts w:eastAsia="MS PGothic"/>
          <w:sz w:val="20"/>
          <w:lang w:val="en-US" w:eastAsia="ja-JP"/>
        </w:rPr>
      </w:pPr>
      <w:r w:rsidRPr="004048B5">
        <w:rPr>
          <w:rFonts w:eastAsia="Batang"/>
          <w:sz w:val="20"/>
          <w:lang w:val="en-US" w:eastAsia="sv-SE"/>
        </w:rPr>
        <w:t xml:space="preserve">Firstly, one </w:t>
      </w:r>
      <w:r w:rsidRPr="004048B5">
        <w:rPr>
          <w:rFonts w:eastAsia="MS PGothic"/>
          <w:sz w:val="20"/>
          <w:lang w:val="en-US" w:eastAsia="ja-JP"/>
        </w:rPr>
        <w:t>of the main differences between DL and UL is that the LAA eNB is the only scheduling entity and is the single transmitter in any given serving cell in the DL. For DL transmissions, LBT/CCA will be performed only by the eNB. Whenever the eNB declares the channel empty following a successful LBT/CCA attempt, it will then simultaneously transmit to multiple UEs. For UL transmissions, if multiple UEs however wanted to individually perform LBT/CCA using LBE rules, the random backoff component would result in that the UE with the smallest backoff value would block channel access for all other UEs even if they started to do CCA more or less in the same time instant. Clearly, in order to maintain the possibility for the LTE LAA UL to support multiple concurrent transmissions from several UEs in any given serving cell in an UL subframe, LAA UEs should perform CCA at the same time, and if successful, then also begin to transmit in the UL subframe(s) in the same time.</w:t>
      </w:r>
    </w:p>
    <w:p w14:paraId="581E50E9" w14:textId="77777777" w:rsidR="004048B5" w:rsidRPr="004048B5" w:rsidRDefault="004048B5" w:rsidP="004048B5">
      <w:pPr>
        <w:spacing w:after="180"/>
        <w:rPr>
          <w:rFonts w:eastAsia="MS PGothic"/>
          <w:sz w:val="20"/>
          <w:lang w:val="en-US" w:eastAsia="ja-JP"/>
        </w:rPr>
      </w:pPr>
      <w:r w:rsidRPr="004048B5">
        <w:rPr>
          <w:rFonts w:eastAsia="MS PGothic"/>
          <w:sz w:val="20"/>
          <w:lang w:val="en-US" w:eastAsia="ja-JP"/>
        </w:rPr>
        <w:t>A second consideration is that LTE LAA will need to use a TDD arrangement on the LAA SCell carrier. Although existing R8 TDD frame configurations may be considered suitable in principle, it may be more practical to introduce longer UL transmission periods. For LAA operation, the configured SCell TDD frame configurations in any given serving cell will often be used also in neighbor cells for interference management reasons. Therefore, synchronizing the possible UL transmission periods and CCA intervals for multiple UEs extends to beyond single cell operation.</w:t>
      </w:r>
    </w:p>
    <w:p w14:paraId="1E12D529" w14:textId="6A56B898" w:rsidR="004048B5" w:rsidRDefault="008A5F58" w:rsidP="004048B5">
      <w:pPr>
        <w:spacing w:after="180"/>
        <w:rPr>
          <w:rFonts w:eastAsia="Batang"/>
          <w:sz w:val="20"/>
          <w:lang w:val="en-US" w:eastAsia="sv-SE"/>
        </w:rPr>
      </w:pPr>
      <w:r>
        <w:rPr>
          <w:rFonts w:eastAsia="Batang"/>
          <w:sz w:val="20"/>
          <w:lang w:val="en-US" w:eastAsia="sv-SE"/>
        </w:rPr>
        <w:t xml:space="preserve">In the </w:t>
      </w:r>
      <w:r w:rsidR="004048B5" w:rsidRPr="004048B5">
        <w:rPr>
          <w:rFonts w:eastAsia="Batang"/>
          <w:sz w:val="20"/>
          <w:lang w:val="en-US" w:eastAsia="sv-SE"/>
        </w:rPr>
        <w:t xml:space="preserve">example of LAA DL+UL operation in Figure </w:t>
      </w:r>
      <w:r w:rsidR="00514F5E">
        <w:rPr>
          <w:rFonts w:eastAsia="Batang"/>
          <w:sz w:val="20"/>
          <w:lang w:val="en-US" w:eastAsia="sv-SE"/>
        </w:rPr>
        <w:t>1</w:t>
      </w:r>
      <w:r w:rsidR="004048B5" w:rsidRPr="004048B5">
        <w:rPr>
          <w:rFonts w:eastAsia="Batang"/>
          <w:sz w:val="20"/>
          <w:lang w:val="en-US" w:eastAsia="sv-SE"/>
        </w:rPr>
        <w:t>, the eNB configures TDD DL-UL frame configuration 3 on the LAA SCell.</w:t>
      </w:r>
    </w:p>
    <w:p w14:paraId="40A65CEB" w14:textId="2E2301F3" w:rsidR="008A5F58" w:rsidRPr="004048B5" w:rsidRDefault="008A5F58" w:rsidP="008A5F58">
      <w:pPr>
        <w:spacing w:after="180"/>
        <w:rPr>
          <w:rFonts w:eastAsia="MS PGothic"/>
          <w:sz w:val="20"/>
          <w:lang w:val="en-US" w:eastAsia="ja-JP"/>
        </w:rPr>
      </w:pPr>
      <w:r w:rsidRPr="004048B5">
        <w:rPr>
          <w:rFonts w:eastAsia="Batang"/>
          <w:sz w:val="20"/>
          <w:lang w:val="en-US" w:eastAsia="sv-SE"/>
        </w:rPr>
        <w:t xml:space="preserve">All LAA UEs that were scheduled by the eNB to transmit in the UL will perform CCA prior to the known UL transmission interval from the configured TDD frame configuration, i.e. towards the end of Special Subframe #1. CCA will be done more or less synchronously by all scheduled UEs during the same </w:t>
      </w:r>
      <w:r>
        <w:rPr>
          <w:rFonts w:eastAsia="Batang"/>
          <w:sz w:val="20"/>
          <w:lang w:val="en-US" w:eastAsia="sv-SE"/>
        </w:rPr>
        <w:t>48</w:t>
      </w:r>
      <w:r w:rsidRPr="004048B5">
        <w:rPr>
          <w:rFonts w:eastAsia="Batang"/>
          <w:sz w:val="20"/>
          <w:lang w:val="en-US" w:eastAsia="sv-SE"/>
        </w:rPr>
        <w:t xml:space="preserve"> us silence interval. Subject to eNB scheduling, not all LAA UEs may use all of the available UL subframes for their own UL transmissions. This is shown in t</w:t>
      </w:r>
      <w:r w:rsidR="00514F5E">
        <w:rPr>
          <w:rFonts w:eastAsia="Batang"/>
          <w:sz w:val="20"/>
          <w:lang w:val="en-US" w:eastAsia="sv-SE"/>
        </w:rPr>
        <w:t>he first radio frame of Figure 1</w:t>
      </w:r>
      <w:r w:rsidRPr="004048B5">
        <w:rPr>
          <w:rFonts w:eastAsia="Batang"/>
          <w:sz w:val="20"/>
          <w:lang w:val="en-US" w:eastAsia="sv-SE"/>
        </w:rPr>
        <w:t>. Under typical conditions and when operating in presence of Wi-Fi neighbor BSSs, most LAA UEs will declare CCA to be busy simultaneously in case there is ongoing Wi-Fi activity on the channel. This is shown in th</w:t>
      </w:r>
      <w:r w:rsidR="00514F5E">
        <w:rPr>
          <w:rFonts w:eastAsia="Batang"/>
          <w:sz w:val="20"/>
          <w:lang w:val="en-US" w:eastAsia="sv-SE"/>
        </w:rPr>
        <w:t>e second radio frame of Figure 1</w:t>
      </w:r>
      <w:r w:rsidRPr="004048B5">
        <w:rPr>
          <w:rFonts w:eastAsia="Batang"/>
          <w:sz w:val="20"/>
          <w:lang w:val="en-US" w:eastAsia="sv-SE"/>
        </w:rPr>
        <w:t>.</w:t>
      </w:r>
    </w:p>
    <w:p w14:paraId="494781B5" w14:textId="4B62748F" w:rsidR="008A5F58" w:rsidRDefault="008A5F58" w:rsidP="008A5F58">
      <w:pPr>
        <w:spacing w:after="180"/>
        <w:rPr>
          <w:rFonts w:eastAsia="MS PGothic"/>
          <w:sz w:val="20"/>
          <w:lang w:val="en-US" w:eastAsia="ja-JP"/>
        </w:rPr>
      </w:pPr>
      <w:r w:rsidRPr="004048B5">
        <w:rPr>
          <w:rFonts w:eastAsia="MS PGothic"/>
          <w:sz w:val="20"/>
          <w:lang w:val="en-US" w:eastAsia="ja-JP"/>
        </w:rPr>
        <w:t xml:space="preserve">It is useful to consider that DL and UL transmission activities and probabilities of successful channel access for LAA are not completely independent from each other. In particular, any DL transmission activity by the eNB in either the preceding DL subframe #0 or in the DwPTS portion of Special Subframe #1 will result in a high likelihood that Wi-Fi transmitters attempting to transmit during these subframes will determine the channel to be busy and defer to beyond UL subframe </w:t>
      </w:r>
      <w:r w:rsidRPr="004048B5">
        <w:rPr>
          <w:rFonts w:eastAsia="MS PGothic"/>
          <w:sz w:val="20"/>
          <w:lang w:val="en-US" w:eastAsia="ja-JP"/>
        </w:rPr>
        <w:lastRenderedPageBreak/>
        <w:t xml:space="preserve">#2. This is in particular true when Special Subframe configurations </w:t>
      </w:r>
      <w:r>
        <w:rPr>
          <w:rFonts w:eastAsia="MS PGothic"/>
          <w:sz w:val="20"/>
          <w:lang w:val="en-US" w:eastAsia="ja-JP"/>
        </w:rPr>
        <w:t xml:space="preserve">with </w:t>
      </w:r>
      <w:r w:rsidRPr="004048B5">
        <w:rPr>
          <w:rFonts w:eastAsia="MS PGothic"/>
          <w:sz w:val="20"/>
          <w:lang w:val="en-US" w:eastAsia="ja-JP"/>
        </w:rPr>
        <w:t>9-12 DL symbols are configured</w:t>
      </w:r>
      <w:r>
        <w:rPr>
          <w:rFonts w:eastAsia="MS PGothic"/>
          <w:sz w:val="20"/>
          <w:lang w:val="en-US" w:eastAsia="ja-JP"/>
        </w:rPr>
        <w:t xml:space="preserve"> on the LAA SCell.</w:t>
      </w:r>
    </w:p>
    <w:p w14:paraId="1B1E7E39" w14:textId="77777777" w:rsidR="008A5F58" w:rsidRDefault="008A5F58" w:rsidP="008A5F58">
      <w:pPr>
        <w:spacing w:after="180"/>
        <w:rPr>
          <w:rFonts w:eastAsia="MS PGothic"/>
          <w:sz w:val="20"/>
          <w:lang w:val="en-US" w:eastAsia="ja-JP"/>
        </w:rPr>
      </w:pPr>
    </w:p>
    <w:p w14:paraId="46645358" w14:textId="6EDC3D40" w:rsidR="008A5F58" w:rsidRDefault="0028371A" w:rsidP="004048B5">
      <w:pPr>
        <w:spacing w:after="180"/>
        <w:jc w:val="center"/>
        <w:rPr>
          <w:rFonts w:eastAsia="Batang"/>
          <w:b/>
          <w:bCs/>
          <w:sz w:val="20"/>
          <w:lang w:val="en-US" w:eastAsia="sv-SE"/>
        </w:rPr>
      </w:pPr>
      <w:r w:rsidRPr="0028371A">
        <w:drawing>
          <wp:inline distT="0" distB="0" distL="0" distR="0" wp14:anchorId="574B1818" wp14:editId="7F72654A">
            <wp:extent cx="5003746" cy="245974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19447" cy="2467465"/>
                    </a:xfrm>
                    <a:prstGeom prst="rect">
                      <a:avLst/>
                    </a:prstGeom>
                    <a:noFill/>
                    <a:ln>
                      <a:noFill/>
                    </a:ln>
                  </pic:spPr>
                </pic:pic>
              </a:graphicData>
            </a:graphic>
          </wp:inline>
        </w:drawing>
      </w:r>
    </w:p>
    <w:p w14:paraId="326F13D9" w14:textId="11FC6AC3" w:rsidR="004048B5" w:rsidRPr="004048B5" w:rsidRDefault="00514F5E" w:rsidP="004048B5">
      <w:pPr>
        <w:spacing w:after="180"/>
        <w:jc w:val="center"/>
        <w:rPr>
          <w:rFonts w:eastAsia="Batang"/>
          <w:b/>
          <w:bCs/>
          <w:sz w:val="20"/>
          <w:lang w:val="en-US" w:eastAsia="sv-SE"/>
        </w:rPr>
      </w:pPr>
      <w:r>
        <w:rPr>
          <w:rFonts w:eastAsia="Batang"/>
          <w:b/>
          <w:bCs/>
          <w:sz w:val="20"/>
          <w:lang w:val="en-US" w:eastAsia="sv-SE"/>
        </w:rPr>
        <w:t>Figure 1</w:t>
      </w:r>
      <w:r w:rsidR="004048B5" w:rsidRPr="004048B5">
        <w:rPr>
          <w:rFonts w:eastAsia="Batang"/>
          <w:b/>
          <w:bCs/>
          <w:sz w:val="20"/>
          <w:lang w:val="en-US" w:eastAsia="sv-SE"/>
        </w:rPr>
        <w:t xml:space="preserve">: LTE LAA UL operation with </w:t>
      </w:r>
      <w:r w:rsidR="008A5F58">
        <w:rPr>
          <w:rFonts w:eastAsia="Batang"/>
          <w:b/>
          <w:bCs/>
          <w:sz w:val="20"/>
          <w:lang w:val="en-US" w:eastAsia="sv-SE"/>
        </w:rPr>
        <w:t xml:space="preserve">LBE Cat 2 based </w:t>
      </w:r>
      <w:r w:rsidR="004048B5" w:rsidRPr="004048B5">
        <w:rPr>
          <w:rFonts w:eastAsia="Batang"/>
          <w:b/>
          <w:bCs/>
          <w:sz w:val="20"/>
          <w:lang w:val="en-US" w:eastAsia="sv-SE"/>
        </w:rPr>
        <w:t>CCA</w:t>
      </w:r>
    </w:p>
    <w:p w14:paraId="6A593E40" w14:textId="77777777" w:rsidR="004048B5" w:rsidRDefault="004048B5" w:rsidP="004048B5">
      <w:pPr>
        <w:spacing w:after="180"/>
        <w:rPr>
          <w:rFonts w:eastAsia="Batang"/>
          <w:sz w:val="20"/>
          <w:lang w:val="en-US" w:eastAsia="sv-SE"/>
        </w:rPr>
      </w:pPr>
    </w:p>
    <w:p w14:paraId="707549BE" w14:textId="67B0B952" w:rsidR="004048B5" w:rsidRDefault="008A5F58" w:rsidP="004048B5">
      <w:pPr>
        <w:spacing w:after="180"/>
        <w:rPr>
          <w:rFonts w:eastAsia="MS PGothic"/>
          <w:sz w:val="20"/>
          <w:lang w:val="en-US" w:eastAsia="ja-JP"/>
        </w:rPr>
      </w:pPr>
      <w:r>
        <w:rPr>
          <w:rFonts w:eastAsia="MS PGothic"/>
          <w:sz w:val="20"/>
          <w:lang w:val="en-US" w:eastAsia="ja-JP"/>
        </w:rPr>
        <w:t>One additional consideration is that UL CCA intervals for LAA UEs prior to the configured fixed frame transmission periods may be synchronized</w:t>
      </w:r>
      <w:r w:rsidR="009012C5">
        <w:rPr>
          <w:rFonts w:eastAsia="MS PGothic"/>
          <w:sz w:val="20"/>
          <w:lang w:val="en-US" w:eastAsia="ja-JP"/>
        </w:rPr>
        <w:t xml:space="preserve"> between different SCells belonging to the same LAA operator</w:t>
      </w:r>
      <w:r>
        <w:rPr>
          <w:rFonts w:eastAsia="MS PGothic"/>
          <w:sz w:val="20"/>
          <w:lang w:val="en-US" w:eastAsia="ja-JP"/>
        </w:rPr>
        <w:t xml:space="preserve">. </w:t>
      </w:r>
      <w:r w:rsidR="009012C5">
        <w:rPr>
          <w:rFonts w:eastAsia="MS PGothic"/>
          <w:sz w:val="20"/>
          <w:lang w:val="en-US" w:eastAsia="ja-JP"/>
        </w:rPr>
        <w:t xml:space="preserve">Such an approach is also useful to time-align LAA UL </w:t>
      </w:r>
      <w:r w:rsidR="0028371A">
        <w:rPr>
          <w:rFonts w:eastAsia="MS PGothic"/>
          <w:sz w:val="20"/>
          <w:lang w:val="en-US" w:eastAsia="ja-JP"/>
        </w:rPr>
        <w:t>transmissions</w:t>
      </w:r>
      <w:r w:rsidR="009012C5">
        <w:rPr>
          <w:rFonts w:eastAsia="MS PGothic"/>
          <w:sz w:val="20"/>
          <w:lang w:val="en-US" w:eastAsia="ja-JP"/>
        </w:rPr>
        <w:t xml:space="preserve"> in-between different LAA operators using the same 5GHz channel. Note that synchronized CCA doesn’t imply signaling exchanges between different LA</w:t>
      </w:r>
      <w:r w:rsidR="00C83306">
        <w:rPr>
          <w:rFonts w:eastAsia="MS PGothic"/>
          <w:sz w:val="20"/>
          <w:lang w:val="en-US" w:eastAsia="ja-JP"/>
        </w:rPr>
        <w:t>A</w:t>
      </w:r>
      <w:r w:rsidR="009012C5">
        <w:rPr>
          <w:rFonts w:eastAsia="MS PGothic"/>
          <w:sz w:val="20"/>
          <w:lang w:val="en-US" w:eastAsia="ja-JP"/>
        </w:rPr>
        <w:t xml:space="preserve"> operators. In fact, for typical small cell scenarios, determination of DL-UL configuration on neighbor cells can equally well be </w:t>
      </w:r>
      <w:r w:rsidR="00C83306">
        <w:rPr>
          <w:rFonts w:eastAsia="MS PGothic"/>
          <w:sz w:val="20"/>
          <w:lang w:val="en-US" w:eastAsia="ja-JP"/>
        </w:rPr>
        <w:t xml:space="preserve">done </w:t>
      </w:r>
      <w:r w:rsidR="009012C5">
        <w:rPr>
          <w:rFonts w:eastAsia="MS PGothic"/>
          <w:sz w:val="20"/>
          <w:lang w:val="en-US" w:eastAsia="ja-JP"/>
        </w:rPr>
        <w:t xml:space="preserve">through eNB </w:t>
      </w:r>
      <w:r w:rsidR="00C83306">
        <w:rPr>
          <w:rFonts w:eastAsia="MS PGothic"/>
          <w:sz w:val="20"/>
          <w:lang w:val="en-US" w:eastAsia="ja-JP"/>
        </w:rPr>
        <w:t xml:space="preserve">side </w:t>
      </w:r>
      <w:r w:rsidR="009012C5">
        <w:rPr>
          <w:rFonts w:eastAsia="MS PGothic"/>
          <w:sz w:val="20"/>
          <w:lang w:val="en-US" w:eastAsia="ja-JP"/>
        </w:rPr>
        <w:t xml:space="preserve">measurements or </w:t>
      </w:r>
      <w:r w:rsidR="00C83306">
        <w:rPr>
          <w:rFonts w:eastAsia="MS PGothic"/>
          <w:sz w:val="20"/>
          <w:lang w:val="en-US" w:eastAsia="ja-JP"/>
        </w:rPr>
        <w:t xml:space="preserve">through </w:t>
      </w:r>
      <w:r w:rsidR="009012C5">
        <w:rPr>
          <w:rFonts w:eastAsia="MS PGothic"/>
          <w:sz w:val="20"/>
          <w:lang w:val="en-US" w:eastAsia="ja-JP"/>
        </w:rPr>
        <w:t>UE-side reporting.</w:t>
      </w:r>
    </w:p>
    <w:p w14:paraId="31CB27B8" w14:textId="77777777" w:rsidR="00A52F16" w:rsidRPr="00077CF3" w:rsidRDefault="00A52F16" w:rsidP="0011092E">
      <w:pPr>
        <w:rPr>
          <w:sz w:val="20"/>
          <w:lang w:val="en-US" w:eastAsia="sv-SE"/>
        </w:rPr>
      </w:pPr>
    </w:p>
    <w:p w14:paraId="5AD052BD" w14:textId="77777777" w:rsidR="00251B4A" w:rsidRPr="00077CF3" w:rsidRDefault="00251B4A" w:rsidP="00251B4A">
      <w:pPr>
        <w:pStyle w:val="Heading1"/>
        <w:spacing w:after="120"/>
        <w:rPr>
          <w:sz w:val="32"/>
          <w:lang w:val="en-US"/>
        </w:rPr>
      </w:pPr>
      <w:r w:rsidRPr="00077CF3">
        <w:rPr>
          <w:sz w:val="32"/>
          <w:lang w:val="en-US"/>
        </w:rPr>
        <w:t>Conclusion</w:t>
      </w:r>
    </w:p>
    <w:p w14:paraId="3C4A2B3E" w14:textId="77777777" w:rsidR="00C83306" w:rsidRDefault="00C83306" w:rsidP="00C83306">
      <w:pPr>
        <w:rPr>
          <w:sz w:val="20"/>
          <w:lang w:val="en-US"/>
        </w:rPr>
      </w:pPr>
      <w:r>
        <w:rPr>
          <w:sz w:val="20"/>
          <w:lang w:val="en-US"/>
        </w:rPr>
        <w:t>In this contribution we provide our views and recommendations on the multiple access scheme for LAA UL transmissions.</w:t>
      </w:r>
    </w:p>
    <w:p w14:paraId="6E6DB690" w14:textId="77777777" w:rsidR="004048B5" w:rsidRPr="00C83306" w:rsidRDefault="004048B5" w:rsidP="00C83306">
      <w:pPr>
        <w:spacing w:after="180"/>
        <w:rPr>
          <w:rFonts w:eastAsia="MS PGothic"/>
          <w:sz w:val="20"/>
          <w:lang w:val="en-US" w:eastAsia="ja-JP"/>
        </w:rPr>
      </w:pPr>
      <w:r w:rsidRPr="00C83306">
        <w:rPr>
          <w:rFonts w:eastAsia="MS PGothic"/>
          <w:sz w:val="20"/>
          <w:lang w:val="en-US" w:eastAsia="ja-JP"/>
        </w:rPr>
        <w:t>In summary, we propose:</w:t>
      </w:r>
    </w:p>
    <w:p w14:paraId="24182850" w14:textId="77777777" w:rsidR="00C83306" w:rsidRPr="004048B5" w:rsidRDefault="00C83306" w:rsidP="00C83306">
      <w:pPr>
        <w:spacing w:after="0"/>
        <w:rPr>
          <w:rFonts w:eastAsia="Batang"/>
          <w:b/>
          <w:sz w:val="20"/>
          <w:lang w:val="en-US" w:eastAsia="sv-SE"/>
        </w:rPr>
      </w:pPr>
      <w:r w:rsidRPr="004048B5">
        <w:rPr>
          <w:rFonts w:eastAsia="Batang"/>
          <w:b/>
          <w:sz w:val="20"/>
          <w:lang w:val="en-US" w:eastAsia="sv-SE"/>
        </w:rPr>
        <w:t xml:space="preserve">Proposal </w:t>
      </w:r>
      <w:r>
        <w:rPr>
          <w:rFonts w:eastAsia="Batang"/>
          <w:b/>
          <w:sz w:val="20"/>
          <w:lang w:val="en-US" w:eastAsia="sv-SE"/>
        </w:rPr>
        <w:t>1</w:t>
      </w:r>
      <w:r w:rsidRPr="004048B5">
        <w:rPr>
          <w:rFonts w:eastAsia="Batang"/>
          <w:b/>
          <w:sz w:val="20"/>
          <w:lang w:val="en-US" w:eastAsia="sv-SE"/>
        </w:rPr>
        <w:t>:</w:t>
      </w:r>
    </w:p>
    <w:p w14:paraId="4DCF5709" w14:textId="61A0AE4D" w:rsidR="00C83306" w:rsidRDefault="00C83306" w:rsidP="00C83306">
      <w:pPr>
        <w:spacing w:after="180"/>
        <w:rPr>
          <w:rFonts w:eastAsia="Batang"/>
          <w:i/>
          <w:sz w:val="20"/>
          <w:lang w:val="en-US" w:eastAsia="sv-SE"/>
        </w:rPr>
      </w:pPr>
      <w:r w:rsidRPr="004048B5">
        <w:rPr>
          <w:rFonts w:eastAsia="Batang"/>
          <w:i/>
          <w:sz w:val="20"/>
          <w:lang w:val="en-US" w:eastAsia="sv-SE"/>
        </w:rPr>
        <w:t xml:space="preserve">LAA UL transmissions </w:t>
      </w:r>
      <w:r w:rsidR="00514F5E">
        <w:rPr>
          <w:rFonts w:eastAsia="Batang"/>
          <w:i/>
          <w:sz w:val="20"/>
          <w:lang w:val="en-US" w:eastAsia="sv-SE"/>
        </w:rPr>
        <w:t>use a</w:t>
      </w:r>
      <w:r>
        <w:rPr>
          <w:rFonts w:eastAsia="Batang"/>
          <w:i/>
          <w:sz w:val="20"/>
          <w:lang w:val="en-US" w:eastAsia="sv-SE"/>
        </w:rPr>
        <w:t xml:space="preserve"> Cat</w:t>
      </w:r>
      <w:r w:rsidR="00514F5E">
        <w:rPr>
          <w:rFonts w:eastAsia="Batang"/>
          <w:i/>
          <w:sz w:val="20"/>
          <w:lang w:val="en-US" w:eastAsia="sv-SE"/>
        </w:rPr>
        <w:t>egory</w:t>
      </w:r>
      <w:r>
        <w:rPr>
          <w:rFonts w:eastAsia="Batang"/>
          <w:i/>
          <w:sz w:val="20"/>
          <w:lang w:val="en-US" w:eastAsia="sv-SE"/>
        </w:rPr>
        <w:t xml:space="preserve"> 2</w:t>
      </w:r>
      <w:r w:rsidR="00514F5E">
        <w:rPr>
          <w:rFonts w:eastAsia="Batang"/>
          <w:i/>
          <w:sz w:val="20"/>
          <w:lang w:val="en-US" w:eastAsia="sv-SE"/>
        </w:rPr>
        <w:t xml:space="preserve"> Channel Access Scheme (LBT without random backoff)</w:t>
      </w:r>
      <w:r w:rsidRPr="004048B5">
        <w:rPr>
          <w:rFonts w:eastAsia="Batang"/>
          <w:i/>
          <w:sz w:val="20"/>
          <w:lang w:val="en-US" w:eastAsia="sv-SE"/>
        </w:rPr>
        <w:t>.</w:t>
      </w:r>
    </w:p>
    <w:p w14:paraId="264AC32C" w14:textId="77777777" w:rsidR="00C83306" w:rsidRPr="004048B5" w:rsidRDefault="00C83306" w:rsidP="00C83306">
      <w:pPr>
        <w:spacing w:after="0"/>
        <w:rPr>
          <w:rFonts w:eastAsia="Batang"/>
          <w:b/>
          <w:sz w:val="20"/>
          <w:lang w:val="en-US" w:eastAsia="sv-SE"/>
        </w:rPr>
      </w:pPr>
      <w:r w:rsidRPr="004048B5">
        <w:rPr>
          <w:rFonts w:eastAsia="Batang"/>
          <w:b/>
          <w:sz w:val="20"/>
          <w:lang w:val="en-US" w:eastAsia="sv-SE"/>
        </w:rPr>
        <w:t xml:space="preserve">Proposal </w:t>
      </w:r>
      <w:r>
        <w:rPr>
          <w:rFonts w:eastAsia="Batang"/>
          <w:b/>
          <w:sz w:val="20"/>
          <w:lang w:val="en-US" w:eastAsia="sv-SE"/>
        </w:rPr>
        <w:t>2</w:t>
      </w:r>
      <w:r w:rsidRPr="004048B5">
        <w:rPr>
          <w:rFonts w:eastAsia="Batang"/>
          <w:b/>
          <w:sz w:val="20"/>
          <w:lang w:val="en-US" w:eastAsia="sv-SE"/>
        </w:rPr>
        <w:t>:</w:t>
      </w:r>
    </w:p>
    <w:p w14:paraId="1D2E2CBA" w14:textId="5E4980D8" w:rsidR="00C83306" w:rsidRPr="004048B5" w:rsidRDefault="00C83306" w:rsidP="00C83306">
      <w:pPr>
        <w:spacing w:after="180"/>
        <w:rPr>
          <w:rFonts w:eastAsia="Batang"/>
          <w:i/>
          <w:sz w:val="20"/>
          <w:lang w:val="en-US" w:eastAsia="sv-SE"/>
        </w:rPr>
      </w:pPr>
      <w:r>
        <w:rPr>
          <w:rFonts w:eastAsia="Batang"/>
          <w:i/>
          <w:sz w:val="20"/>
          <w:lang w:val="en-US" w:eastAsia="sv-SE"/>
        </w:rPr>
        <w:t xml:space="preserve">A single CCA period precedes the UL fixed frame transmission period </w:t>
      </w:r>
      <w:r w:rsidR="00514F5E">
        <w:rPr>
          <w:rFonts w:eastAsia="Batang"/>
          <w:i/>
          <w:sz w:val="20"/>
          <w:lang w:val="en-US" w:eastAsia="sv-SE"/>
        </w:rPr>
        <w:t xml:space="preserve">of </w:t>
      </w:r>
      <w:r>
        <w:rPr>
          <w:rFonts w:eastAsia="Batang"/>
          <w:i/>
          <w:sz w:val="20"/>
          <w:lang w:val="en-US" w:eastAsia="sv-SE"/>
        </w:rPr>
        <w:t>possibly multiple consecutive UL subframes</w:t>
      </w:r>
      <w:r w:rsidRPr="004048B5">
        <w:rPr>
          <w:rFonts w:eastAsia="Batang"/>
          <w:i/>
          <w:sz w:val="20"/>
          <w:lang w:val="en-US" w:eastAsia="sv-SE"/>
        </w:rPr>
        <w:t>.</w:t>
      </w:r>
    </w:p>
    <w:p w14:paraId="66827C02" w14:textId="77777777" w:rsidR="00C83306" w:rsidRPr="004048B5" w:rsidRDefault="00C83306" w:rsidP="00C83306">
      <w:pPr>
        <w:spacing w:after="0"/>
        <w:rPr>
          <w:rFonts w:eastAsia="Batang"/>
          <w:b/>
          <w:sz w:val="20"/>
          <w:lang w:val="en-US" w:eastAsia="sv-SE"/>
        </w:rPr>
      </w:pPr>
      <w:r>
        <w:rPr>
          <w:rFonts w:eastAsia="Batang"/>
          <w:b/>
          <w:sz w:val="20"/>
          <w:lang w:val="en-US" w:eastAsia="sv-SE"/>
        </w:rPr>
        <w:t>Proposal 3</w:t>
      </w:r>
      <w:r w:rsidRPr="004048B5">
        <w:rPr>
          <w:rFonts w:eastAsia="Batang"/>
          <w:b/>
          <w:sz w:val="20"/>
          <w:lang w:val="en-US" w:eastAsia="sv-SE"/>
        </w:rPr>
        <w:t>:</w:t>
      </w:r>
    </w:p>
    <w:p w14:paraId="36DC4B5E" w14:textId="77777777" w:rsidR="00C83306" w:rsidRPr="004048B5" w:rsidRDefault="00C83306" w:rsidP="00C83306">
      <w:pPr>
        <w:spacing w:after="180"/>
        <w:rPr>
          <w:rFonts w:eastAsia="Batang"/>
          <w:i/>
          <w:sz w:val="20"/>
          <w:lang w:val="en-US" w:eastAsia="sv-SE"/>
        </w:rPr>
      </w:pPr>
      <w:r>
        <w:rPr>
          <w:rFonts w:eastAsia="Batang"/>
          <w:i/>
          <w:sz w:val="20"/>
          <w:lang w:val="en-US" w:eastAsia="sv-SE"/>
        </w:rPr>
        <w:t xml:space="preserve">UL </w:t>
      </w:r>
      <w:r w:rsidRPr="004048B5">
        <w:rPr>
          <w:rFonts w:eastAsia="Batang"/>
          <w:i/>
          <w:sz w:val="20"/>
          <w:lang w:val="en-US" w:eastAsia="sv-SE"/>
        </w:rPr>
        <w:t xml:space="preserve">CCA intervals at the </w:t>
      </w:r>
      <w:r>
        <w:rPr>
          <w:rFonts w:eastAsia="Batang"/>
          <w:i/>
          <w:sz w:val="20"/>
          <w:lang w:val="en-US" w:eastAsia="sv-SE"/>
        </w:rPr>
        <w:t xml:space="preserve">beginning of the </w:t>
      </w:r>
      <w:r w:rsidRPr="004048B5">
        <w:rPr>
          <w:rFonts w:eastAsia="Batang"/>
          <w:i/>
          <w:sz w:val="20"/>
          <w:lang w:val="en-US" w:eastAsia="sv-SE"/>
        </w:rPr>
        <w:t xml:space="preserve">configured UL </w:t>
      </w:r>
      <w:r>
        <w:rPr>
          <w:rFonts w:eastAsia="Batang"/>
          <w:i/>
          <w:sz w:val="20"/>
          <w:lang w:val="en-US" w:eastAsia="sv-SE"/>
        </w:rPr>
        <w:t xml:space="preserve">fixed frame transmission period are time-synchronized for UEs in the same LAA SCell and </w:t>
      </w:r>
      <w:bookmarkStart w:id="0" w:name="_GoBack"/>
      <w:bookmarkEnd w:id="0"/>
      <w:r>
        <w:rPr>
          <w:rFonts w:eastAsia="Batang"/>
          <w:i/>
          <w:sz w:val="20"/>
          <w:lang w:val="en-US" w:eastAsia="sv-SE"/>
        </w:rPr>
        <w:t>in-between neighbor LAA SCells</w:t>
      </w:r>
      <w:r w:rsidRPr="004048B5">
        <w:rPr>
          <w:rFonts w:eastAsia="Batang"/>
          <w:i/>
          <w:sz w:val="20"/>
          <w:lang w:val="en-US" w:eastAsia="sv-SE"/>
        </w:rPr>
        <w:t>.</w:t>
      </w:r>
    </w:p>
    <w:p w14:paraId="5ABA5085" w14:textId="77777777" w:rsidR="004E45AE" w:rsidRPr="00077CF3" w:rsidRDefault="004E45AE" w:rsidP="004E45AE">
      <w:pPr>
        <w:rPr>
          <w:sz w:val="20"/>
          <w:lang w:val="en-US" w:eastAsia="sv-SE"/>
        </w:rPr>
      </w:pPr>
    </w:p>
    <w:p w14:paraId="0EF7466D" w14:textId="77777777" w:rsidR="00251B4A" w:rsidRPr="00077CF3" w:rsidRDefault="00251B4A" w:rsidP="00251B4A">
      <w:pPr>
        <w:pStyle w:val="Heading1"/>
        <w:rPr>
          <w:sz w:val="32"/>
          <w:lang w:val="en-US"/>
        </w:rPr>
      </w:pPr>
      <w:r w:rsidRPr="00077CF3">
        <w:rPr>
          <w:sz w:val="32"/>
          <w:lang w:val="en-US"/>
        </w:rPr>
        <w:t>References</w:t>
      </w:r>
    </w:p>
    <w:p w14:paraId="3BDB2E65" w14:textId="77777777" w:rsidR="0028371A" w:rsidRPr="00396E2B" w:rsidRDefault="0028371A" w:rsidP="0028371A">
      <w:pPr>
        <w:pStyle w:val="Reference"/>
        <w:rPr>
          <w:sz w:val="20"/>
          <w:lang w:val="en-US"/>
        </w:rPr>
      </w:pPr>
      <w:r w:rsidRPr="00396E2B">
        <w:rPr>
          <w:sz w:val="20"/>
          <w:lang w:val="en-US"/>
        </w:rPr>
        <w:t xml:space="preserve">R1-151458 </w:t>
      </w:r>
      <w:r w:rsidRPr="00396E2B">
        <w:rPr>
          <w:i/>
          <w:sz w:val="20"/>
          <w:lang w:val="en-US"/>
        </w:rPr>
        <w:t>Coexistence evaluation results for DL+UL LAA and WiFi</w:t>
      </w:r>
      <w:r w:rsidRPr="00396E2B">
        <w:rPr>
          <w:sz w:val="20"/>
          <w:lang w:val="en-US"/>
        </w:rPr>
        <w:t>; InterDigital</w:t>
      </w:r>
    </w:p>
    <w:p w14:paraId="3C314F0E" w14:textId="77777777" w:rsidR="0028371A" w:rsidRPr="00396E2B" w:rsidRDefault="0028371A" w:rsidP="0028371A">
      <w:pPr>
        <w:pStyle w:val="Reference"/>
        <w:rPr>
          <w:sz w:val="20"/>
          <w:lang w:val="en-US"/>
        </w:rPr>
      </w:pPr>
      <w:r w:rsidRPr="00396E2B">
        <w:rPr>
          <w:sz w:val="20"/>
          <w:lang w:val="en-US"/>
        </w:rPr>
        <w:t xml:space="preserve">R1-151460 </w:t>
      </w:r>
      <w:r w:rsidRPr="00396E2B">
        <w:rPr>
          <w:i/>
          <w:sz w:val="20"/>
          <w:lang w:val="en-US"/>
        </w:rPr>
        <w:t>DL transmission for LAA</w:t>
      </w:r>
      <w:r w:rsidRPr="00396E2B">
        <w:rPr>
          <w:sz w:val="20"/>
          <w:lang w:val="en-US"/>
        </w:rPr>
        <w:t>; InterDigital</w:t>
      </w:r>
    </w:p>
    <w:p w14:paraId="4AB2A2DA" w14:textId="77777777" w:rsidR="0028371A" w:rsidRPr="00396E2B" w:rsidRDefault="0028371A" w:rsidP="0028371A">
      <w:pPr>
        <w:pStyle w:val="Reference"/>
        <w:rPr>
          <w:sz w:val="20"/>
          <w:lang w:val="en-US"/>
        </w:rPr>
      </w:pPr>
      <w:r w:rsidRPr="00396E2B">
        <w:rPr>
          <w:sz w:val="20"/>
          <w:lang w:val="en-US"/>
        </w:rPr>
        <w:t xml:space="preserve">R1-151936 </w:t>
      </w:r>
      <w:r w:rsidRPr="00396E2B">
        <w:rPr>
          <w:i/>
          <w:sz w:val="20"/>
          <w:lang w:val="en-US"/>
        </w:rPr>
        <w:t>UL HARQ operation for LAA</w:t>
      </w:r>
      <w:r w:rsidRPr="00396E2B">
        <w:rPr>
          <w:sz w:val="20"/>
          <w:lang w:val="en-US"/>
        </w:rPr>
        <w:t>; InterDigital</w:t>
      </w:r>
    </w:p>
    <w:p w14:paraId="421E6C12" w14:textId="77777777" w:rsidR="0028371A" w:rsidRPr="00396E2B" w:rsidRDefault="0028371A" w:rsidP="0028371A">
      <w:pPr>
        <w:pStyle w:val="Reference"/>
        <w:rPr>
          <w:sz w:val="20"/>
          <w:lang w:val="fr-CA"/>
        </w:rPr>
      </w:pPr>
      <w:r w:rsidRPr="00396E2B">
        <w:rPr>
          <w:sz w:val="20"/>
          <w:lang w:val="fr-CA"/>
        </w:rPr>
        <w:t xml:space="preserve">R1-152134 </w:t>
      </w:r>
      <w:r w:rsidRPr="00396E2B">
        <w:rPr>
          <w:i/>
          <w:sz w:val="20"/>
          <w:lang w:val="fr-CA"/>
        </w:rPr>
        <w:t>LAA frame structure</w:t>
      </w:r>
      <w:r w:rsidRPr="00396E2B">
        <w:rPr>
          <w:sz w:val="20"/>
          <w:lang w:val="fr-CA"/>
        </w:rPr>
        <w:t>; InterDigital</w:t>
      </w:r>
    </w:p>
    <w:p w14:paraId="1067212E" w14:textId="77777777" w:rsidR="006F56F5" w:rsidRPr="00077CF3" w:rsidRDefault="006F56F5" w:rsidP="006F56F5">
      <w:pPr>
        <w:pStyle w:val="Reference"/>
        <w:rPr>
          <w:sz w:val="20"/>
          <w:lang w:val="en-US"/>
        </w:rPr>
      </w:pPr>
      <w:r w:rsidRPr="00077CF3">
        <w:rPr>
          <w:sz w:val="20"/>
          <w:lang w:val="en-US"/>
        </w:rPr>
        <w:t xml:space="preserve">R1-151068 </w:t>
      </w:r>
      <w:r w:rsidRPr="00077CF3">
        <w:rPr>
          <w:i/>
          <w:sz w:val="20"/>
          <w:lang w:val="en-US"/>
        </w:rPr>
        <w:t>Design considerations on LTE LAA DL and UL operation</w:t>
      </w:r>
      <w:r w:rsidRPr="00077CF3">
        <w:rPr>
          <w:sz w:val="20"/>
          <w:lang w:val="en-US"/>
        </w:rPr>
        <w:t xml:space="preserve">; InterDigital </w:t>
      </w:r>
    </w:p>
    <w:p w14:paraId="0EEFB2FE" w14:textId="15E3EB14" w:rsidR="003D41C3" w:rsidRDefault="003D41C3" w:rsidP="003D41C3">
      <w:pPr>
        <w:pStyle w:val="Reference"/>
        <w:rPr>
          <w:sz w:val="20"/>
          <w:lang w:val="en-US"/>
        </w:rPr>
      </w:pPr>
      <w:r>
        <w:rPr>
          <w:sz w:val="20"/>
          <w:lang w:val="en-US"/>
        </w:rPr>
        <w:lastRenderedPageBreak/>
        <w:t xml:space="preserve">R1-151066 </w:t>
      </w:r>
      <w:r w:rsidRPr="003D41C3">
        <w:rPr>
          <w:i/>
          <w:sz w:val="20"/>
          <w:lang w:val="en-US"/>
        </w:rPr>
        <w:t>Coexistence evaluation results for LTE LAA DL-only and Wi-Fi</w:t>
      </w:r>
      <w:r>
        <w:rPr>
          <w:sz w:val="20"/>
          <w:lang w:val="en-US"/>
        </w:rPr>
        <w:t>; InterDigital</w:t>
      </w:r>
    </w:p>
    <w:p w14:paraId="4DF0D820" w14:textId="25799F63" w:rsidR="001D36A9" w:rsidRPr="00077CF3" w:rsidRDefault="00C77624" w:rsidP="001D36A9">
      <w:pPr>
        <w:pStyle w:val="Reference"/>
        <w:ind w:left="562" w:hanging="562"/>
        <w:rPr>
          <w:sz w:val="20"/>
          <w:lang w:val="en-US"/>
        </w:rPr>
      </w:pPr>
      <w:r w:rsidRPr="00077CF3">
        <w:rPr>
          <w:sz w:val="20"/>
          <w:lang w:val="en-US"/>
        </w:rPr>
        <w:t>R1-1505</w:t>
      </w:r>
      <w:r w:rsidR="001D36A9" w:rsidRPr="00077CF3">
        <w:rPr>
          <w:sz w:val="20"/>
          <w:lang w:val="en-US"/>
        </w:rPr>
        <w:t xml:space="preserve">41 </w:t>
      </w:r>
      <w:r w:rsidR="001D36A9" w:rsidRPr="00077CF3">
        <w:rPr>
          <w:i/>
          <w:sz w:val="20"/>
          <w:lang w:val="en-US"/>
        </w:rPr>
        <w:t>Design considerations on LTE LAA DL+UL mode</w:t>
      </w:r>
      <w:r w:rsidR="006F56F5">
        <w:rPr>
          <w:sz w:val="20"/>
          <w:lang w:val="en-US"/>
        </w:rPr>
        <w:t>; InterD</w:t>
      </w:r>
      <w:r w:rsidR="001D36A9" w:rsidRPr="00077CF3">
        <w:rPr>
          <w:sz w:val="20"/>
          <w:lang w:val="en-US"/>
        </w:rPr>
        <w:t>igital</w:t>
      </w:r>
    </w:p>
    <w:p w14:paraId="2BA0166C" w14:textId="77777777" w:rsidR="007362DB" w:rsidRPr="00077CF3" w:rsidRDefault="007362DB" w:rsidP="001D36A9">
      <w:pPr>
        <w:pStyle w:val="Reference"/>
        <w:ind w:left="562" w:hanging="562"/>
        <w:rPr>
          <w:sz w:val="20"/>
          <w:lang w:val="en-US"/>
        </w:rPr>
      </w:pPr>
      <w:r w:rsidRPr="00077CF3">
        <w:rPr>
          <w:sz w:val="20"/>
          <w:lang w:val="en-US"/>
        </w:rPr>
        <w:t xml:space="preserve">R1-145186 </w:t>
      </w:r>
      <w:r w:rsidRPr="00077CF3">
        <w:rPr>
          <w:i/>
          <w:sz w:val="20"/>
          <w:lang w:val="en-US"/>
        </w:rPr>
        <w:t>On the need to model RTS/CTS in LAA coexistence scenarios</w:t>
      </w:r>
      <w:r w:rsidRPr="00077CF3">
        <w:rPr>
          <w:sz w:val="20"/>
          <w:lang w:val="en-US"/>
        </w:rPr>
        <w:t>; InterDigital</w:t>
      </w:r>
    </w:p>
    <w:p w14:paraId="0DC13771" w14:textId="655408A9" w:rsidR="003D41C3" w:rsidRPr="003D41C3" w:rsidRDefault="003D41C3" w:rsidP="003D41C3">
      <w:pPr>
        <w:pStyle w:val="Reference"/>
        <w:ind w:left="562" w:hanging="562"/>
        <w:rPr>
          <w:sz w:val="20"/>
          <w:lang w:val="en-US"/>
        </w:rPr>
      </w:pPr>
      <w:r w:rsidRPr="00077CF3">
        <w:rPr>
          <w:sz w:val="20"/>
          <w:lang w:val="en-US"/>
        </w:rPr>
        <w:t xml:space="preserve">3GPP TR 36.889 v031 </w:t>
      </w:r>
      <w:r w:rsidRPr="00077CF3">
        <w:rPr>
          <w:i/>
          <w:sz w:val="20"/>
          <w:lang w:val="en-US"/>
        </w:rPr>
        <w:t>Feasibility</w:t>
      </w:r>
      <w:r w:rsidRPr="00077CF3">
        <w:rPr>
          <w:sz w:val="20"/>
          <w:lang w:val="en-US"/>
        </w:rPr>
        <w:t xml:space="preserve"> </w:t>
      </w:r>
      <w:r w:rsidRPr="00077CF3">
        <w:rPr>
          <w:i/>
          <w:sz w:val="20"/>
          <w:lang w:val="en-US"/>
        </w:rPr>
        <w:t>Study on License-Assisted Access to Unlicensed Spectrum</w:t>
      </w:r>
      <w:r w:rsidRPr="00077CF3">
        <w:rPr>
          <w:sz w:val="20"/>
          <w:lang w:val="en-US"/>
        </w:rPr>
        <w:t xml:space="preserve"> (R13)</w:t>
      </w:r>
    </w:p>
    <w:sectPr w:rsidR="003D41C3" w:rsidRPr="003D41C3" w:rsidSect="00D55085">
      <w:headerReference w:type="even" r:id="rId13"/>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3FF84" w14:textId="77777777" w:rsidR="00DF5083" w:rsidRDefault="00DF5083">
      <w:r>
        <w:separator/>
      </w:r>
    </w:p>
  </w:endnote>
  <w:endnote w:type="continuationSeparator" w:id="0">
    <w:p w14:paraId="2FD8B452" w14:textId="77777777" w:rsidR="00DF5083" w:rsidRDefault="00DF5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14F5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14F5E">
      <w:rPr>
        <w:rStyle w:val="PageNumber"/>
      </w:rPr>
      <w:t>3</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28371A">
      <w:rPr>
        <w:rStyle w:val="PageNumber"/>
      </w:rPr>
      <w:t>2015-04-10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5A104" w14:textId="77777777" w:rsidR="00DF5083" w:rsidRDefault="00DF5083">
      <w:r>
        <w:separator/>
      </w:r>
    </w:p>
  </w:footnote>
  <w:footnote w:type="continuationSeparator" w:id="0">
    <w:p w14:paraId="2A8A5B06" w14:textId="77777777" w:rsidR="00DF5083" w:rsidRDefault="00DF50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8">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2"/>
  </w:num>
  <w:num w:numId="4">
    <w:abstractNumId w:val="13"/>
  </w:num>
  <w:num w:numId="5">
    <w:abstractNumId w:val="9"/>
  </w:num>
  <w:num w:numId="6">
    <w:abstractNumId w:val="16"/>
  </w:num>
  <w:num w:numId="7">
    <w:abstractNumId w:val="23"/>
  </w:num>
  <w:num w:numId="8">
    <w:abstractNumId w:val="10"/>
  </w:num>
  <w:num w:numId="9">
    <w:abstractNumId w:val="32"/>
  </w:num>
  <w:num w:numId="10">
    <w:abstractNumId w:val="26"/>
  </w:num>
  <w:num w:numId="11">
    <w:abstractNumId w:val="33"/>
  </w:num>
  <w:num w:numId="12">
    <w:abstractNumId w:val="4"/>
  </w:num>
  <w:num w:numId="13">
    <w:abstractNumId w:val="6"/>
  </w:num>
  <w:num w:numId="14">
    <w:abstractNumId w:val="15"/>
  </w:num>
  <w:num w:numId="15">
    <w:abstractNumId w:val="27"/>
  </w:num>
  <w:num w:numId="16">
    <w:abstractNumId w:val="5"/>
  </w:num>
  <w:num w:numId="17">
    <w:abstractNumId w:val="2"/>
  </w:num>
  <w:num w:numId="18">
    <w:abstractNumId w:val="8"/>
  </w:num>
  <w:num w:numId="19">
    <w:abstractNumId w:val="24"/>
  </w:num>
  <w:num w:numId="20">
    <w:abstractNumId w:val="18"/>
  </w:num>
  <w:num w:numId="21">
    <w:abstractNumId w:val="21"/>
  </w:num>
  <w:num w:numId="22">
    <w:abstractNumId w:val="29"/>
  </w:num>
  <w:num w:numId="23">
    <w:abstractNumId w:val="3"/>
  </w:num>
  <w:num w:numId="24">
    <w:abstractNumId w:val="28"/>
  </w:num>
  <w:num w:numId="25">
    <w:abstractNumId w:val="34"/>
  </w:num>
  <w:num w:numId="26">
    <w:abstractNumId w:val="14"/>
  </w:num>
  <w:num w:numId="27">
    <w:abstractNumId w:val="30"/>
  </w:num>
  <w:num w:numId="28">
    <w:abstractNumId w:val="20"/>
  </w:num>
  <w:num w:numId="29">
    <w:abstractNumId w:val="1"/>
  </w:num>
  <w:num w:numId="30">
    <w:abstractNumId w:val="1"/>
  </w:num>
  <w:num w:numId="31">
    <w:abstractNumId w:val="25"/>
  </w:num>
  <w:num w:numId="32">
    <w:abstractNumId w:val="17"/>
  </w:num>
  <w:num w:numId="33">
    <w:abstractNumId w:val="7"/>
  </w:num>
  <w:num w:numId="34">
    <w:abstractNumId w:val="35"/>
  </w:num>
  <w:num w:numId="35">
    <w:abstractNumId w:val="31"/>
  </w:num>
  <w:num w:numId="36">
    <w:abstractNumId w:val="0"/>
  </w:num>
  <w:num w:numId="37">
    <w:abstractNumId w:val="19"/>
  </w:num>
  <w:num w:numId="38">
    <w:abstractNumId w:val="22"/>
  </w:num>
  <w:num w:numId="3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36E5B"/>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747E"/>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D3F"/>
    <w:rsid w:val="00215F14"/>
    <w:rsid w:val="002160C0"/>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71A"/>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869"/>
    <w:rsid w:val="002A2B92"/>
    <w:rsid w:val="002A3257"/>
    <w:rsid w:val="002A37EE"/>
    <w:rsid w:val="002A3FC3"/>
    <w:rsid w:val="002A4063"/>
    <w:rsid w:val="002A4C62"/>
    <w:rsid w:val="002A4CC1"/>
    <w:rsid w:val="002A5F35"/>
    <w:rsid w:val="002A6CFF"/>
    <w:rsid w:val="002A6FF8"/>
    <w:rsid w:val="002B24D6"/>
    <w:rsid w:val="002B2C00"/>
    <w:rsid w:val="002B3B0D"/>
    <w:rsid w:val="002B3FE9"/>
    <w:rsid w:val="002B6D00"/>
    <w:rsid w:val="002B77BF"/>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3FD6"/>
    <w:rsid w:val="003143BD"/>
    <w:rsid w:val="003153C1"/>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F56"/>
    <w:rsid w:val="004459C8"/>
    <w:rsid w:val="00446488"/>
    <w:rsid w:val="00446A99"/>
    <w:rsid w:val="0044705A"/>
    <w:rsid w:val="00447BC3"/>
    <w:rsid w:val="00450214"/>
    <w:rsid w:val="00450677"/>
    <w:rsid w:val="00450E98"/>
    <w:rsid w:val="004517AA"/>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36B1"/>
    <w:rsid w:val="004D6C54"/>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4F5E"/>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09"/>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D00"/>
    <w:rsid w:val="00886D44"/>
    <w:rsid w:val="00886F61"/>
    <w:rsid w:val="00887B43"/>
    <w:rsid w:val="008907CA"/>
    <w:rsid w:val="00891245"/>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5F58"/>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2C5"/>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4D6"/>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445F"/>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1888"/>
    <w:rsid w:val="00B44A42"/>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3306"/>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4E1A"/>
    <w:rsid w:val="00CA59E2"/>
    <w:rsid w:val="00CA5D20"/>
    <w:rsid w:val="00CA6781"/>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BC"/>
    <w:rsid w:val="00D341A0"/>
    <w:rsid w:val="00D3467D"/>
    <w:rsid w:val="00D352F6"/>
    <w:rsid w:val="00D36E71"/>
    <w:rsid w:val="00D37053"/>
    <w:rsid w:val="00D3771F"/>
    <w:rsid w:val="00D37D87"/>
    <w:rsid w:val="00D40B33"/>
    <w:rsid w:val="00D4102D"/>
    <w:rsid w:val="00D417B1"/>
    <w:rsid w:val="00D41A3F"/>
    <w:rsid w:val="00D42335"/>
    <w:rsid w:val="00D4318F"/>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696"/>
    <w:rsid w:val="00DC0BB6"/>
    <w:rsid w:val="00DC2D36"/>
    <w:rsid w:val="00DC3D86"/>
    <w:rsid w:val="00DC53EF"/>
    <w:rsid w:val="00DC5FB3"/>
    <w:rsid w:val="00DC6129"/>
    <w:rsid w:val="00DC631A"/>
    <w:rsid w:val="00DC6DC7"/>
    <w:rsid w:val="00DD017F"/>
    <w:rsid w:val="00DD126B"/>
    <w:rsid w:val="00DD1AE7"/>
    <w:rsid w:val="00DD31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083"/>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F8A"/>
    <w:rsid w:val="00E96A1D"/>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1F98"/>
    <w:rsid w:val="00EE28F5"/>
    <w:rsid w:val="00EE35AB"/>
    <w:rsid w:val="00EE6B5A"/>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70BF"/>
    <w:rsid w:val="00F57485"/>
    <w:rsid w:val="00F57752"/>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46249886-32AB-4095-ACC9-D9D925CBC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139</TotalTime>
  <Pages>3</Pages>
  <Words>856</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5725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24</cp:revision>
  <cp:lastPrinted>2014-08-07T20:35:00Z</cp:lastPrinted>
  <dcterms:created xsi:type="dcterms:W3CDTF">2015-04-08T21:10:00Z</dcterms:created>
  <dcterms:modified xsi:type="dcterms:W3CDTF">2015-04-10T23:29:00Z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